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45" w:rsidRPr="003702D5" w:rsidRDefault="00D62E45" w:rsidP="003702D5">
      <w:pPr>
        <w:spacing w:after="0" w:line="240" w:lineRule="auto"/>
        <w:jc w:val="both"/>
        <w:textAlignment w:val="baseline"/>
        <w:outlineLvl w:val="0"/>
        <w:rPr>
          <w:rFonts w:eastAsia="Times New Roman"/>
          <w:bCs/>
          <w:color w:val="29272C"/>
          <w:kern w:val="36"/>
          <w:sz w:val="40"/>
          <w:szCs w:val="40"/>
          <w:lang w:eastAsia="hu-HU"/>
        </w:rPr>
      </w:pPr>
      <w:r w:rsidRPr="003702D5">
        <w:rPr>
          <w:rFonts w:eastAsia="Times New Roman"/>
          <w:bCs/>
          <w:color w:val="29272C"/>
          <w:kern w:val="36"/>
          <w:sz w:val="40"/>
          <w:szCs w:val="40"/>
          <w:lang w:eastAsia="hu-HU"/>
        </w:rPr>
        <w:t>Kijózanító a zöldforradalom eddigi mérlege</w:t>
      </w:r>
    </w:p>
    <w:p w:rsidR="003702D5" w:rsidRDefault="003702D5" w:rsidP="003702D5">
      <w:pPr>
        <w:spacing w:after="0" w:line="240" w:lineRule="auto"/>
        <w:jc w:val="both"/>
        <w:textAlignment w:val="top"/>
        <w:rPr>
          <w:rFonts w:eastAsia="Times New Roman"/>
          <w:bCs/>
          <w:color w:val="686570"/>
          <w:lang w:eastAsia="hu-HU"/>
        </w:rPr>
      </w:pPr>
    </w:p>
    <w:p w:rsidR="00D62E45" w:rsidRPr="00D62E45" w:rsidRDefault="003702D5" w:rsidP="003702D5">
      <w:pPr>
        <w:spacing w:after="0" w:line="240" w:lineRule="auto"/>
        <w:jc w:val="both"/>
        <w:textAlignment w:val="top"/>
        <w:rPr>
          <w:rFonts w:eastAsia="Times New Roman"/>
          <w:caps/>
          <w:color w:val="686570"/>
          <w:lang w:eastAsia="hu-HU"/>
        </w:rPr>
      </w:pPr>
      <w:r w:rsidRPr="003702D5">
        <w:rPr>
          <w:rFonts w:eastAsia="Times New Roman"/>
          <w:bCs/>
          <w:color w:val="686570"/>
          <w:lang w:eastAsia="hu-HU"/>
        </w:rPr>
        <w:t>Hárfás Zsolt,</w:t>
      </w:r>
      <w:r>
        <w:rPr>
          <w:rFonts w:eastAsia="Times New Roman"/>
          <w:b/>
          <w:bCs/>
          <w:color w:val="686570"/>
          <w:lang w:eastAsia="hu-HU"/>
        </w:rPr>
        <w:t xml:space="preserve"> </w:t>
      </w:r>
      <w:r w:rsidRPr="003702D5">
        <w:rPr>
          <w:rFonts w:eastAsia="Times New Roman"/>
          <w:b/>
          <w:color w:val="686570"/>
          <w:lang w:eastAsia="hu-HU"/>
        </w:rPr>
        <w:t>origo.h</w:t>
      </w:r>
      <w:r>
        <w:rPr>
          <w:rFonts w:eastAsia="Times New Roman"/>
          <w:color w:val="686570"/>
          <w:lang w:eastAsia="hu-HU"/>
        </w:rPr>
        <w:t xml:space="preserve">u </w:t>
      </w:r>
      <w:r w:rsidRPr="00D62E45">
        <w:rPr>
          <w:rFonts w:eastAsia="Times New Roman"/>
          <w:color w:val="686570"/>
          <w:lang w:eastAsia="hu-HU"/>
        </w:rPr>
        <w:t xml:space="preserve">2021.04.02. </w:t>
      </w:r>
    </w:p>
    <w:p w:rsidR="00D62E45" w:rsidRPr="00D62E45" w:rsidRDefault="00D62E45" w:rsidP="003702D5">
      <w:pPr>
        <w:spacing w:after="0" w:line="240" w:lineRule="auto"/>
        <w:jc w:val="both"/>
        <w:textAlignment w:val="baseline"/>
        <w:rPr>
          <w:rFonts w:eastAsia="Times New Roman"/>
          <w:color w:val="686570"/>
          <w:lang w:eastAsia="hu-HU"/>
        </w:rPr>
      </w:pPr>
    </w:p>
    <w:p w:rsidR="00D62E45" w:rsidRPr="00D62E45" w:rsidRDefault="00D62E45" w:rsidP="003702D5">
      <w:pPr>
        <w:spacing w:after="0" w:line="240" w:lineRule="auto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>A Paks II. Atomerőmű megépítésének itthoni ellenzői változatlan vehemenciával próbálják elhitetni a közvéleménnyel, hogy Németország a követendő példa. Azt hirdetik, hogy a németek le tudnak mondani az atom- és szénerőműveikről, miközben az „ingyenes" megújuló energiaforrásokkal biztosítani lehet az olcsó áramot, az ellátásbiztonságot és a klímavédelmi célokat. Az elmúlt években számtalan cikkben írtam arról (például </w:t>
      </w:r>
      <w:hyperlink r:id="rId6" w:tgtFrame="_blank" w:history="1">
        <w:r w:rsidRPr="00D62E45">
          <w:rPr>
            <w:rFonts w:eastAsia="Times New Roman"/>
            <w:color w:val="5FCC14"/>
            <w:u w:val="single"/>
            <w:lang w:eastAsia="hu-HU"/>
          </w:rPr>
          <w:t>itt</w:t>
        </w:r>
      </w:hyperlink>
      <w:r w:rsidRPr="00D62E45">
        <w:rPr>
          <w:rFonts w:eastAsia="Times New Roman"/>
          <w:color w:val="29272C"/>
          <w:lang w:eastAsia="hu-HU"/>
        </w:rPr>
        <w:t> és </w:t>
      </w:r>
      <w:hyperlink r:id="rId7" w:tgtFrame="_blank" w:history="1">
        <w:r w:rsidRPr="00D62E45">
          <w:rPr>
            <w:rFonts w:eastAsia="Times New Roman"/>
            <w:color w:val="5FCC14"/>
            <w:u w:val="single"/>
            <w:lang w:eastAsia="hu-HU"/>
          </w:rPr>
          <w:t>itt</w:t>
        </w:r>
      </w:hyperlink>
      <w:r w:rsidRPr="00D62E45">
        <w:rPr>
          <w:rFonts w:eastAsia="Times New Roman"/>
          <w:color w:val="29272C"/>
          <w:lang w:eastAsia="hu-HU"/>
        </w:rPr>
        <w:t>), hogy ennek semmi köze sincs a valósághoz, és a német energiaforradalom átgondolatlanságát és célszerűtlenségét már maguk a </w:t>
      </w:r>
      <w:hyperlink r:id="rId8" w:tgtFrame="_blank" w:history="1">
        <w:r w:rsidRPr="00D62E45">
          <w:rPr>
            <w:rFonts w:eastAsia="Times New Roman"/>
            <w:color w:val="5FCC14"/>
            <w:u w:val="single"/>
            <w:lang w:eastAsia="hu-HU"/>
          </w:rPr>
          <w:t xml:space="preserve">németek is </w:t>
        </w:r>
        <w:proofErr w:type="gramStart"/>
        <w:r w:rsidRPr="00D62E45">
          <w:rPr>
            <w:rFonts w:eastAsia="Times New Roman"/>
            <w:color w:val="5FCC14"/>
            <w:u w:val="single"/>
            <w:lang w:eastAsia="hu-HU"/>
          </w:rPr>
          <w:t>felismerték</w:t>
        </w:r>
        <w:proofErr w:type="gramEnd"/>
      </w:hyperlink>
      <w:r w:rsidRPr="00D62E45">
        <w:rPr>
          <w:rFonts w:eastAsia="Times New Roman"/>
          <w:color w:val="29272C"/>
          <w:lang w:eastAsia="hu-HU"/>
        </w:rPr>
        <w:t xml:space="preserve">. Ezt támasztja alá a német Szövetségi Számvevőszék legfrissebb, 2021. március 30-án publikált jelentése is, amelyben a testület élesen bírálja az </w:t>
      </w:r>
      <w:proofErr w:type="spellStart"/>
      <w:r w:rsidRPr="00D62E45">
        <w:rPr>
          <w:rFonts w:eastAsia="Times New Roman"/>
          <w:color w:val="29272C"/>
          <w:lang w:eastAsia="hu-HU"/>
        </w:rPr>
        <w:t>energiaátmenet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eddigi végrehajtását, mert emiatt csökken az ellátásbiztonság, és az Európában már most is </w:t>
      </w:r>
      <w:proofErr w:type="spellStart"/>
      <w:r w:rsidRPr="00D62E45">
        <w:rPr>
          <w:rFonts w:eastAsia="Times New Roman"/>
          <w:color w:val="29272C"/>
          <w:lang w:eastAsia="hu-HU"/>
        </w:rPr>
        <w:t>rekordmagas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- a magyar áramárat háromszor meghaladó - német villamosenergia-tarifák még inkább az egekbe szöknek.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 xml:space="preserve">A német Szövetségi Számvevőszék bírálatából bőven kijutott Peter </w:t>
      </w:r>
      <w:proofErr w:type="spellStart"/>
      <w:r w:rsidRPr="00D62E45">
        <w:rPr>
          <w:rFonts w:eastAsia="Times New Roman"/>
          <w:color w:val="29272C"/>
          <w:lang w:eastAsia="hu-HU"/>
        </w:rPr>
        <w:t>Altmaier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német szövetségi gazdasági és energiaügyi miniszternek, amiért az </w:t>
      </w:r>
      <w:proofErr w:type="spellStart"/>
      <w:r w:rsidRPr="00D62E45">
        <w:rPr>
          <w:rFonts w:eastAsia="Times New Roman"/>
          <w:color w:val="29272C"/>
          <w:lang w:eastAsia="hu-HU"/>
        </w:rPr>
        <w:t>energiaátmenetért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felelős tárcája szemet huny az áramellátás biztonsága felett, holott sürgősen felül kellene vizsgálnia a jelenlegi energetikai helyzetet. A német számvevőszék szerint a </w:t>
      </w:r>
      <w:proofErr w:type="gramStart"/>
      <w:r w:rsidRPr="00D62E45">
        <w:rPr>
          <w:rFonts w:eastAsia="Times New Roman"/>
          <w:color w:val="29272C"/>
          <w:lang w:eastAsia="hu-HU"/>
        </w:rPr>
        <w:t>tárca adós</w:t>
      </w:r>
      <w:proofErr w:type="gramEnd"/>
      <w:r w:rsidRPr="00D62E45">
        <w:rPr>
          <w:rFonts w:eastAsia="Times New Roman"/>
          <w:color w:val="29272C"/>
          <w:lang w:eastAsia="hu-HU"/>
        </w:rPr>
        <w:t xml:space="preserve"> a valós kockázatokat, így az áramkimaradásokat, vagy a negatív árak okozta anomáliákat taglaló reális forgatókönyvekkel is.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proofErr w:type="gramStart"/>
      <w:r w:rsidRPr="00D62E45">
        <w:rPr>
          <w:rFonts w:eastAsia="Times New Roman"/>
          <w:color w:val="29272C"/>
          <w:lang w:eastAsia="hu-HU"/>
        </w:rPr>
        <w:t>A Szövetségi Gazdasági és Energiaügyi Minisztérium (</w:t>
      </w:r>
      <w:proofErr w:type="spellStart"/>
      <w:r w:rsidRPr="00D62E45">
        <w:rPr>
          <w:rFonts w:eastAsia="Times New Roman"/>
          <w:color w:val="29272C"/>
          <w:lang w:eastAsia="hu-HU"/>
        </w:rPr>
        <w:t>BMWi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) feladata, hogy az </w:t>
      </w:r>
      <w:proofErr w:type="spellStart"/>
      <w:r w:rsidRPr="00D62E45">
        <w:rPr>
          <w:rFonts w:eastAsia="Times New Roman"/>
          <w:color w:val="29272C"/>
          <w:lang w:eastAsia="hu-HU"/>
        </w:rPr>
        <w:t>energiaátmenetet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levezényelje, az energiapolitika három pillérét: az ellátásbiztonságot a megfizethetőséget és a klíma- és környezeti szempontokat közös nevezőre hozza, miközben fel kell mérnie az energiaforradalom társadalomra és cégekre gyakorolt hatásait is – írta a számvevőszék a német parlament alsóházának, </w:t>
      </w:r>
      <w:proofErr w:type="gramEnd"/>
      <w:r w:rsidR="00B27C85" w:rsidRPr="00D62E45">
        <w:rPr>
          <w:rFonts w:eastAsia="Times New Roman"/>
          <w:color w:val="29272C"/>
          <w:lang w:eastAsia="hu-HU"/>
        </w:rPr>
        <w:fldChar w:fldCharType="begin"/>
      </w:r>
      <w:r w:rsidRPr="00D62E45">
        <w:rPr>
          <w:rFonts w:eastAsia="Times New Roman"/>
          <w:color w:val="29272C"/>
          <w:lang w:eastAsia="hu-HU"/>
        </w:rPr>
        <w:instrText xml:space="preserve"> HYPERLINK "https://www.bundesrechnungshof.de/de/veroeffentlichungen/produkte/sonderberichte/langfassungen-ab-2013/2021/umsetzung-der-energiewende-im-hinblick-auf-die-versorgungssicherheit-und-bezahlbarkeit-bei-elektrizitat-pdf" \t "_blank" </w:instrText>
      </w:r>
      <w:r w:rsidR="00B27C85" w:rsidRPr="00D62E45">
        <w:rPr>
          <w:rFonts w:eastAsia="Times New Roman"/>
          <w:color w:val="29272C"/>
          <w:lang w:eastAsia="hu-HU"/>
        </w:rPr>
        <w:fldChar w:fldCharType="separate"/>
      </w:r>
      <w:proofErr w:type="gramStart"/>
      <w:r w:rsidRPr="00D62E45">
        <w:rPr>
          <w:rFonts w:eastAsia="Times New Roman"/>
          <w:color w:val="5FCC14"/>
          <w:u w:val="single"/>
          <w:lang w:eastAsia="hu-HU"/>
        </w:rPr>
        <w:t>a</w:t>
      </w:r>
      <w:proofErr w:type="gramEnd"/>
      <w:r w:rsidRPr="00D62E45">
        <w:rPr>
          <w:rFonts w:eastAsia="Times New Roman"/>
          <w:color w:val="5FCC14"/>
          <w:u w:val="single"/>
          <w:lang w:eastAsia="hu-HU"/>
        </w:rPr>
        <w:t xml:space="preserve"> Bundestagnak március 30-án megküldött jelentésében</w:t>
      </w:r>
      <w:r w:rsidR="00B27C85" w:rsidRPr="00D62E45">
        <w:rPr>
          <w:rFonts w:eastAsia="Times New Roman"/>
          <w:color w:val="29272C"/>
          <w:lang w:eastAsia="hu-HU"/>
        </w:rPr>
        <w:fldChar w:fldCharType="end"/>
      </w:r>
      <w:r w:rsidRPr="00D62E45">
        <w:rPr>
          <w:rFonts w:eastAsia="Times New Roman"/>
          <w:color w:val="29272C"/>
          <w:lang w:eastAsia="hu-HU"/>
        </w:rPr>
        <w:t>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>A számvevőszék felrója a minisztériumnak, hogy elhanyagolta az ellátásbiztonság és a rendszerbiztonság olyan aspektusait is, mint a hálózat bővítése, az energiatárolás, a hálózatok karbantartása és stabil működés biztosítása, valamint a már fent említett ellátási anomáliák kezelése.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outlineLvl w:val="1"/>
        <w:rPr>
          <w:rFonts w:eastAsia="Times New Roman"/>
          <w:b/>
          <w:bCs/>
          <w:color w:val="29272C"/>
          <w:lang w:eastAsia="hu-HU"/>
        </w:rPr>
      </w:pPr>
      <w:r w:rsidRPr="00D62E45">
        <w:rPr>
          <w:rFonts w:eastAsia="Times New Roman"/>
          <w:b/>
          <w:bCs/>
          <w:color w:val="29272C"/>
          <w:lang w:eastAsia="hu-HU"/>
        </w:rPr>
        <w:t>Súlyos kapacitáshiány várható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 xml:space="preserve">A számvevőszék ellenőrei arra figyelmeztettek, hogy a minisztérium és a szövetségi kormány nem mérlegelte kellően az atom- és szénerőművek leállításának hatását. Miközben a hidrogéngazdaságra való áttérés már a tervek szintjén is jelentősen megnöveli az áramigényt, ennek fedezete ma nem látszik. Mindezek mellett az időjárásfüggő nap- és szélerőművek miatt szükséges hálózatfejlesztés is csigatempóban araszol és korlátozottak a határokon átnyúló kapacitások, ami csökkenti az ellátásbiztonságot. A mintegy 85 milliárd euróba kerülő </w:t>
      </w:r>
      <w:proofErr w:type="spellStart"/>
      <w:r w:rsidRPr="00D62E45">
        <w:rPr>
          <w:rFonts w:eastAsia="Times New Roman"/>
          <w:color w:val="29272C"/>
          <w:lang w:eastAsia="hu-HU"/>
        </w:rPr>
        <w:t>átvitelihálózat-bővítés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egyelőre várat magára. A jelentés szerint a hálózatbővítés tavaly már 4000 kilométerrel és 5 évvel volt elmaradva az eredeti ütemtervtől</w:t>
      </w:r>
      <w:proofErr w:type="gramStart"/>
      <w:r w:rsidRPr="00D62E45">
        <w:rPr>
          <w:rFonts w:eastAsia="Times New Roman"/>
          <w:color w:val="29272C"/>
          <w:lang w:eastAsia="hu-HU"/>
        </w:rPr>
        <w:t>...</w:t>
      </w:r>
      <w:proofErr w:type="gramEnd"/>
      <w:r w:rsidRPr="00D62E45">
        <w:rPr>
          <w:rFonts w:eastAsia="Times New Roman"/>
          <w:color w:val="29272C"/>
          <w:lang w:eastAsia="hu-HU"/>
        </w:rPr>
        <w:t xml:space="preserve"> A bővítéshez szükséges beruházásokat a hálózati díjak, azaz megint csak a villamosenergia-fogyasztók finanszírozzák. A számvevőszék azt is megállapította, hogy a minisztérium részéről a hálózat bővítésének </w:t>
      </w:r>
      <w:proofErr w:type="spellStart"/>
      <w:r w:rsidRPr="00D62E45">
        <w:rPr>
          <w:rFonts w:eastAsia="Times New Roman"/>
          <w:color w:val="29272C"/>
          <w:lang w:eastAsia="hu-HU"/>
        </w:rPr>
        <w:t>ellátásbiztonsági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állapotértékelése is elmaradt.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lastRenderedPageBreak/>
        <w:t>A jelentés egyik legfontosabb megállapítása kétségtelenül az, hogy a minisztériumnak az elemzéseiben és számításaiban feltétlenül figyelembe kell vennie a szélsőséges időjárást produkáló éveket, (mint amilyen a tavalyi vagy az idei év eleje volt), amelyekben a nap- és szélerőművek jelentősen kevesebb áramtermelésre voltak képesek az időjárás-függőségük miatt. Felrótta a jelentés, hogy az ipar önkéntes fogyasztáscsökkenésre vonatkozó minisztériumi előrejelzések túlzottan optimisták, az elégtelen hálózatfejlesztésből fakadó kockázatot pedig eleve nem is értékelték.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>A minisztérium nem vizsgálta a „legrosszabb" forgatókönyvet („</w:t>
      </w:r>
      <w:proofErr w:type="spellStart"/>
      <w:r w:rsidRPr="00D62E45">
        <w:rPr>
          <w:rFonts w:eastAsia="Times New Roman"/>
          <w:color w:val="29272C"/>
          <w:lang w:eastAsia="hu-HU"/>
        </w:rPr>
        <w:t>worst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</w:t>
      </w:r>
      <w:proofErr w:type="spellStart"/>
      <w:r w:rsidRPr="00D62E45">
        <w:rPr>
          <w:rFonts w:eastAsia="Times New Roman"/>
          <w:color w:val="29272C"/>
          <w:lang w:eastAsia="hu-HU"/>
        </w:rPr>
        <w:t>case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</w:t>
      </w:r>
      <w:proofErr w:type="spellStart"/>
      <w:r w:rsidRPr="00D62E45">
        <w:rPr>
          <w:rFonts w:eastAsia="Times New Roman"/>
          <w:color w:val="29272C"/>
          <w:lang w:eastAsia="hu-HU"/>
        </w:rPr>
        <w:t>scenario</w:t>
      </w:r>
      <w:proofErr w:type="spellEnd"/>
      <w:r w:rsidRPr="00D62E45">
        <w:rPr>
          <w:rFonts w:eastAsia="Times New Roman"/>
          <w:color w:val="29272C"/>
          <w:lang w:eastAsia="hu-HU"/>
        </w:rPr>
        <w:t>") sem, holott egy alapos és megbízható szakmai elemzésnek abból kell kiindulnia, hogy a villamosenergia-ellátás minden időpillanatban a kellő tartalékokkal biztosítható legyen. Függetlenül az aktuális időjárási vagy egyéb körülményektől, eleget téve ezzel az ellátásbiztonság, a megfizethetőség valamint a klíma- és környezetvédelmi szempontoknak. Ráadásul a jelentés szerint a német szaktárca túl alacsony áramszükséglet emelkedéssel számol. Vagyis ezek szerint alapjaiban elhibázott a zöldek áramigény-csökkenést vizionáló álláspontja!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>A német számvevők azt is egyértelműen rögzítették, hogy a kieső hagyományos kapacitás (atom- és szénerőművek) pótlására új erőműveket kell létesíteni. Nem nap- és szélerőműveket, hanem például gázerőműveket, amelyeket később át lehet alakítani hidrogénüzeműre. Kiemelik, hogy sajnos egyelőre nem látszik, hogy milyen ösztönzőkkel segítené Berlin a „hagyományos" erőműfejlesztéseket és honnan teremtené meg az új kapacitásokat, amelyeknek már az évtized közepére rendelkezésre kellene állniuk.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 xml:space="preserve">Adós maradt a minisztérium azzal a magyarázattal is, hogy mit jelent végül is az „olcsó és hatékony" áramellátás, miközben a német </w:t>
      </w:r>
      <w:proofErr w:type="spellStart"/>
      <w:r w:rsidRPr="00D62E45">
        <w:rPr>
          <w:rFonts w:eastAsia="Times New Roman"/>
          <w:color w:val="29272C"/>
          <w:lang w:eastAsia="hu-HU"/>
        </w:rPr>
        <w:t>energiaátmenet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2000 és 2025 között a hálózatfejlesztés költségeivel együtt összességében 520 milliárd euróba fog kerülni. A számvevőszék felvetése után csak egy kérdés marad – ha ez olcsó, akkor mi a drága?</w:t>
      </w:r>
    </w:p>
    <w:p w:rsidR="00D62E45" w:rsidRPr="00D62E45" w:rsidRDefault="00D62E45" w:rsidP="00D62E45">
      <w:pPr>
        <w:spacing w:after="0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i/>
          <w:iCs/>
          <w:color w:val="29272C"/>
          <w:lang w:eastAsia="hu-HU"/>
        </w:rPr>
        <w:t xml:space="preserve">Összehasonlításképpen ebből a pénzből 41 Paks II. Atomerőművet lehetne kulcsrakészen felépíteni, ami a jelenlegi német összes beépített kapacitás közel fele. Ellentétben a megújulókkal, az atomenergia folyamatosan rendelkezésre áll, </w:t>
      </w:r>
      <w:proofErr w:type="spellStart"/>
      <w:r w:rsidRPr="00D62E45">
        <w:rPr>
          <w:rFonts w:eastAsia="Times New Roman"/>
          <w:i/>
          <w:iCs/>
          <w:color w:val="29272C"/>
          <w:lang w:eastAsia="hu-HU"/>
        </w:rPr>
        <w:t>klímasemleges</w:t>
      </w:r>
      <w:proofErr w:type="spellEnd"/>
      <w:r w:rsidRPr="00D62E45">
        <w:rPr>
          <w:rFonts w:eastAsia="Times New Roman"/>
          <w:i/>
          <w:iCs/>
          <w:color w:val="29272C"/>
          <w:lang w:eastAsia="hu-HU"/>
        </w:rPr>
        <w:t xml:space="preserve"> és olcsó áramot biztosít.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>A német állam által szabályozott villamosenergia-árkomponensek jelenlegi rendszerével az amúgy is magas áramárak viszont tovább emelkednek.</w:t>
      </w:r>
    </w:p>
    <w:p w:rsidR="00D62E45" w:rsidRPr="00D62E45" w:rsidRDefault="00D62E45" w:rsidP="00D62E45">
      <w:pPr>
        <w:spacing w:after="0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b/>
          <w:bCs/>
          <w:color w:val="29272C"/>
          <w:lang w:eastAsia="hu-HU"/>
        </w:rPr>
        <w:t>Ez pénzügyileg túlterheli a háztartási fogyasztókat, csökkenti Németország versenyképességét és aláássa az „energiaforradalom" társadalmi elfogadottságát is – állapítja meg a német számvevőszék. (A német háztartások egységnyi áramköltsége 43 százalékkal magasabb még az uniós átlagnál is.)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outlineLvl w:val="1"/>
        <w:rPr>
          <w:rFonts w:eastAsia="Times New Roman"/>
          <w:b/>
          <w:bCs/>
          <w:color w:val="29272C"/>
          <w:lang w:eastAsia="hu-HU"/>
        </w:rPr>
      </w:pPr>
      <w:r w:rsidRPr="00D62E45">
        <w:rPr>
          <w:rFonts w:eastAsia="Times New Roman"/>
          <w:b/>
          <w:bCs/>
          <w:color w:val="29272C"/>
          <w:lang w:eastAsia="hu-HU"/>
        </w:rPr>
        <w:t>Németországban a legdrágább az áram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 xml:space="preserve">A jelentés kiemeli, hogy az állami szabályozás alá tartozó felárak, adók és hálózati díjak az áramárnak immár 75 (!) </w:t>
      </w:r>
      <w:proofErr w:type="gramStart"/>
      <w:r w:rsidRPr="00D62E45">
        <w:rPr>
          <w:rFonts w:eastAsia="Times New Roman"/>
          <w:color w:val="29272C"/>
          <w:lang w:eastAsia="hu-HU"/>
        </w:rPr>
        <w:t>százalékát</w:t>
      </w:r>
      <w:proofErr w:type="gramEnd"/>
      <w:r w:rsidRPr="00D62E45">
        <w:rPr>
          <w:rFonts w:eastAsia="Times New Roman"/>
          <w:color w:val="29272C"/>
          <w:lang w:eastAsia="hu-HU"/>
        </w:rPr>
        <w:t xml:space="preserve"> teszik ki Németországban. Éppen ezért a német háztartási fogyasztóknak, a kis- és középvállalkozásoknak kell a legtöbbet fizetni az áramért Európában, és ez a tendencia csak tovább fog erősödni. Mindez annak ellenére történik, hogy a jelentés emlékeztet: a német kormányzat szövetségi pénzből 11 milliárd eurót fordít a megújulós kassza feltöltésére annak érdekében, </w:t>
      </w:r>
      <w:r w:rsidRPr="00D62E45">
        <w:rPr>
          <w:rFonts w:eastAsia="Times New Roman"/>
          <w:color w:val="29272C"/>
          <w:lang w:eastAsia="hu-HU"/>
        </w:rPr>
        <w:lastRenderedPageBreak/>
        <w:t xml:space="preserve">hogy idén és jövőre a megújuló energiaforrásokat szolgáló díjelem tovább ne növekedjen. A számvevőszék konklúziója, hogy a legutóbbi, 2018-as számvevőszéki ellenőrzés óta a gazdasági minisztérium és Németország túl keveset tett a sikeres </w:t>
      </w:r>
      <w:proofErr w:type="spellStart"/>
      <w:r w:rsidRPr="00D62E45">
        <w:rPr>
          <w:rFonts w:eastAsia="Times New Roman"/>
          <w:color w:val="29272C"/>
          <w:lang w:eastAsia="hu-HU"/>
        </w:rPr>
        <w:t>energiaátmenet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megvalósításáért. – Az eredmény lesújtó– állapította meg a számvevőszék elnöke, Kay </w:t>
      </w:r>
      <w:proofErr w:type="spellStart"/>
      <w:r w:rsidRPr="00D62E45">
        <w:rPr>
          <w:rFonts w:eastAsia="Times New Roman"/>
          <w:color w:val="29272C"/>
          <w:lang w:eastAsia="hu-HU"/>
        </w:rPr>
        <w:t>Scheller</w:t>
      </w:r>
      <w:proofErr w:type="spellEnd"/>
      <w:r w:rsidRPr="00D62E45">
        <w:rPr>
          <w:rFonts w:eastAsia="Times New Roman"/>
          <w:color w:val="29272C"/>
          <w:lang w:eastAsia="hu-HU"/>
        </w:rPr>
        <w:t>.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outlineLvl w:val="1"/>
        <w:rPr>
          <w:rFonts w:eastAsia="Times New Roman"/>
          <w:b/>
          <w:bCs/>
          <w:color w:val="29272C"/>
          <w:lang w:eastAsia="hu-HU"/>
        </w:rPr>
      </w:pPr>
      <w:r w:rsidRPr="00D62E45">
        <w:rPr>
          <w:rFonts w:eastAsia="Times New Roman"/>
          <w:b/>
          <w:bCs/>
          <w:color w:val="29272C"/>
          <w:lang w:eastAsia="hu-HU"/>
        </w:rPr>
        <w:t>Végső következtetések</w:t>
      </w:r>
    </w:p>
    <w:p w:rsidR="00D62E45" w:rsidRPr="00D62E45" w:rsidRDefault="00D62E45" w:rsidP="00D62E45">
      <w:pPr>
        <w:spacing w:before="184" w:after="184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color w:val="29272C"/>
          <w:lang w:eastAsia="hu-HU"/>
        </w:rPr>
        <w:t xml:space="preserve">A számvevőszék végső megállapításai/ajánlásai szerint a minisztériumnak meg kell határoznia, hogy mit is jelent az olcsó és hatékony áramellátás, valamint folytatnia kell az állam által szabályozott villamosenergia-ár összetevők rendszerének alapvető reformját, hiszen a kormányzat eddigi erőfeszítései nem tudták megakadályozni a folyamatosan növekvő áramárakat. Sürgeti, hogy a szaktárca tegyen lépéseket az áram díjának állami szabályozás alá eső elemeinek alapvető átstrukturálására. Olyan árreformra van szükség, amelynek révén a jövőben előreláthatóak és fenntarthatóak lesznek a végfogyasztók pénzügyi terhei. A </w:t>
      </w:r>
      <w:proofErr w:type="spellStart"/>
      <w:r w:rsidRPr="00D62E45">
        <w:rPr>
          <w:rFonts w:eastAsia="Times New Roman"/>
          <w:color w:val="29272C"/>
          <w:lang w:eastAsia="hu-HU"/>
        </w:rPr>
        <w:t>villamosenergiaár-reform</w:t>
      </w:r>
      <w:proofErr w:type="spellEnd"/>
      <w:r w:rsidRPr="00D62E45">
        <w:rPr>
          <w:rFonts w:eastAsia="Times New Roman"/>
          <w:color w:val="29272C"/>
          <w:lang w:eastAsia="hu-HU"/>
        </w:rPr>
        <w:t xml:space="preserve"> elmaradása esetén viszont Németország azt kockáztatja, hogy elveszíti versenyképességét, veszélybe kerülnek a gazdaságpolitikai célok, a kis- és középvállalkozások, az innováció és a technológia finanszírozására szánt költségvetési források nem fognak hatni, és megszűnik a zöldforradalom társadalmi elfogadottsága. A német számvevőszék álláspontja szerint nem lehet többé prioritás a német energiaforradalom „bármi áron" történő megvalósítása.</w:t>
      </w:r>
    </w:p>
    <w:p w:rsidR="00D62E45" w:rsidRDefault="00D62E45" w:rsidP="00D62E45">
      <w:pPr>
        <w:spacing w:after="0" w:line="184" w:lineRule="atLeast"/>
        <w:jc w:val="both"/>
        <w:textAlignment w:val="baseline"/>
        <w:rPr>
          <w:rFonts w:eastAsia="Times New Roman"/>
          <w:b/>
          <w:bCs/>
          <w:color w:val="29272C"/>
          <w:lang w:eastAsia="hu-HU"/>
        </w:rPr>
      </w:pPr>
      <w:r w:rsidRPr="00D62E45">
        <w:rPr>
          <w:rFonts w:eastAsia="Times New Roman"/>
          <w:b/>
          <w:bCs/>
          <w:color w:val="29272C"/>
          <w:lang w:eastAsia="hu-HU"/>
        </w:rPr>
        <w:t>Mindezekek alapján azt láthatjuk, hogy a német energiapolitikai irányvonal, az atomerőművek politikai alapon történő leállítása, a szénerőművek kivezetése és a megújuló energiaforrások, különösen a nap- és szélerőművek rohamtempójú elterjedése – összességében az átgondolatlan és kapkodó, a szakmai szempontokat mellőző energiapolitika – súlyos következményekkel jár. A német Szövetségi Számvevőszék jelentése ezért kötelező olvasmány Paks II. hazai ellenzőinek!</w:t>
      </w:r>
    </w:p>
    <w:p w:rsidR="00D62E45" w:rsidRPr="00D62E45" w:rsidRDefault="00D62E45" w:rsidP="00D62E45">
      <w:pPr>
        <w:spacing w:after="0" w:line="184" w:lineRule="atLeast"/>
        <w:jc w:val="both"/>
        <w:textAlignment w:val="baseline"/>
        <w:rPr>
          <w:rFonts w:eastAsia="Times New Roman"/>
          <w:color w:val="29272C"/>
          <w:lang w:eastAsia="hu-HU"/>
        </w:rPr>
      </w:pPr>
    </w:p>
    <w:p w:rsidR="00D62E45" w:rsidRPr="00D62E45" w:rsidRDefault="00D62E45" w:rsidP="00D62E45">
      <w:pPr>
        <w:spacing w:after="0" w:line="184" w:lineRule="atLeast"/>
        <w:textAlignment w:val="baseline"/>
        <w:rPr>
          <w:rFonts w:eastAsia="Times New Roman"/>
          <w:color w:val="29272C"/>
          <w:lang w:eastAsia="hu-HU"/>
        </w:rPr>
      </w:pPr>
      <w:r w:rsidRPr="00D62E45">
        <w:rPr>
          <w:rFonts w:eastAsia="Times New Roman"/>
          <w:b/>
          <w:bCs/>
          <w:color w:val="29272C"/>
          <w:lang w:eastAsia="hu-HU"/>
        </w:rPr>
        <w:t>Hárfás Zsolt</w:t>
      </w:r>
      <w:r w:rsidRPr="00D62E45">
        <w:rPr>
          <w:rFonts w:eastAsia="Times New Roman"/>
          <w:color w:val="29272C"/>
          <w:lang w:eastAsia="hu-HU"/>
        </w:rPr>
        <w:br/>
        <w:t>atomenergetikai szakértő</w:t>
      </w:r>
      <w:r w:rsidRPr="00D62E45">
        <w:rPr>
          <w:rFonts w:eastAsia="Times New Roman"/>
          <w:color w:val="29272C"/>
          <w:lang w:eastAsia="hu-HU"/>
        </w:rPr>
        <w:br/>
        <w:t>az </w:t>
      </w:r>
      <w:hyperlink r:id="rId9" w:tgtFrame="_blank" w:history="1">
        <w:r w:rsidRPr="00D62E45">
          <w:rPr>
            <w:rFonts w:eastAsia="Times New Roman"/>
            <w:color w:val="5FCC14"/>
            <w:u w:val="single"/>
            <w:lang w:eastAsia="hu-HU"/>
          </w:rPr>
          <w:t>atombiztos.blogstar.hu</w:t>
        </w:r>
      </w:hyperlink>
      <w:r w:rsidRPr="00D62E45">
        <w:rPr>
          <w:rFonts w:eastAsia="Times New Roman"/>
          <w:color w:val="29272C"/>
          <w:lang w:eastAsia="hu-HU"/>
        </w:rPr>
        <w:t> oldal szerzője</w:t>
      </w:r>
    </w:p>
    <w:sectPr w:rsidR="00D62E45" w:rsidRPr="00D62E45" w:rsidSect="005B1A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00" w:rsidRDefault="00D36400" w:rsidP="00D62E45">
      <w:pPr>
        <w:spacing w:after="0" w:line="240" w:lineRule="auto"/>
      </w:pPr>
      <w:r>
        <w:separator/>
      </w:r>
    </w:p>
  </w:endnote>
  <w:endnote w:type="continuationSeparator" w:id="0">
    <w:p w:rsidR="00D36400" w:rsidRDefault="00D36400" w:rsidP="00D6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15"/>
      <w:docPartObj>
        <w:docPartGallery w:val="Page Numbers (Bottom of Page)"/>
        <w:docPartUnique/>
      </w:docPartObj>
    </w:sdtPr>
    <w:sdtContent>
      <w:p w:rsidR="00D62E45" w:rsidRDefault="00B27C85">
        <w:pPr>
          <w:pStyle w:val="llb"/>
          <w:jc w:val="right"/>
        </w:pPr>
        <w:fldSimple w:instr=" PAGE   \* MERGEFORMAT ">
          <w:r w:rsidR="003702D5">
            <w:rPr>
              <w:noProof/>
            </w:rPr>
            <w:t>2</w:t>
          </w:r>
        </w:fldSimple>
      </w:p>
    </w:sdtContent>
  </w:sdt>
  <w:p w:rsidR="00D62E45" w:rsidRDefault="00D62E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00" w:rsidRDefault="00D36400" w:rsidP="00D62E45">
      <w:pPr>
        <w:spacing w:after="0" w:line="240" w:lineRule="auto"/>
      </w:pPr>
      <w:r>
        <w:separator/>
      </w:r>
    </w:p>
  </w:footnote>
  <w:footnote w:type="continuationSeparator" w:id="0">
    <w:p w:rsidR="00D36400" w:rsidRDefault="00D36400" w:rsidP="00D6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E45"/>
    <w:rsid w:val="0032181A"/>
    <w:rsid w:val="003702D5"/>
    <w:rsid w:val="004867DD"/>
    <w:rsid w:val="004E0C82"/>
    <w:rsid w:val="005B1A92"/>
    <w:rsid w:val="00675B05"/>
    <w:rsid w:val="00904811"/>
    <w:rsid w:val="009C51F3"/>
    <w:rsid w:val="00A60AF3"/>
    <w:rsid w:val="00A60DAB"/>
    <w:rsid w:val="00B27C85"/>
    <w:rsid w:val="00B7751B"/>
    <w:rsid w:val="00BA4DE1"/>
    <w:rsid w:val="00BE7634"/>
    <w:rsid w:val="00C60EA3"/>
    <w:rsid w:val="00D36400"/>
    <w:rsid w:val="00D62E45"/>
    <w:rsid w:val="00DA0BEB"/>
    <w:rsid w:val="00DE418D"/>
    <w:rsid w:val="00E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B05"/>
  </w:style>
  <w:style w:type="paragraph" w:styleId="Cmsor1">
    <w:name w:val="heading 1"/>
    <w:basedOn w:val="Norml"/>
    <w:link w:val="Cmsor1Char"/>
    <w:uiPriority w:val="9"/>
    <w:qFormat/>
    <w:rsid w:val="00D6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62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7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675B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5B0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75B05"/>
    <w:rPr>
      <w:b/>
      <w:bCs/>
    </w:rPr>
  </w:style>
  <w:style w:type="paragraph" w:styleId="Listaszerbekezds">
    <w:name w:val="List Paragraph"/>
    <w:basedOn w:val="Norml"/>
    <w:uiPriority w:val="34"/>
    <w:qFormat/>
    <w:rsid w:val="00675B05"/>
    <w:pPr>
      <w:ind w:left="720"/>
      <w:contextualSpacing/>
    </w:pPr>
  </w:style>
  <w:style w:type="character" w:styleId="Finomkiemels">
    <w:name w:val="Subtle Emphasis"/>
    <w:uiPriority w:val="99"/>
    <w:qFormat/>
    <w:rsid w:val="00675B05"/>
    <w:rPr>
      <w:i w:val="0"/>
      <w:iCs w:val="0"/>
      <w:color w:val="000000"/>
      <w:bdr w:val="none" w:sz="0" w:space="0" w:color="auto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uiPriority w:val="9"/>
    <w:rsid w:val="00D62E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62E4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opt-title">
    <w:name w:val="opt-title"/>
    <w:basedOn w:val="Bekezdsalapbettpusa"/>
    <w:rsid w:val="00D62E45"/>
  </w:style>
  <w:style w:type="character" w:customStyle="1" w:styleId="article-author">
    <w:name w:val="article-author"/>
    <w:basedOn w:val="Bekezdsalapbettpusa"/>
    <w:rsid w:val="00D62E45"/>
  </w:style>
  <w:style w:type="paragraph" w:styleId="NormlWeb">
    <w:name w:val="Normal (Web)"/>
    <w:basedOn w:val="Norml"/>
    <w:uiPriority w:val="99"/>
    <w:semiHidden/>
    <w:unhideWhenUsed/>
    <w:rsid w:val="00D6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2E45"/>
    <w:rPr>
      <w:color w:val="0000FF"/>
      <w:u w:val="single"/>
    </w:rPr>
  </w:style>
  <w:style w:type="character" w:customStyle="1" w:styleId="desc">
    <w:name w:val="desc"/>
    <w:basedOn w:val="Bekezdsalapbettpusa"/>
    <w:rsid w:val="00D62E45"/>
  </w:style>
  <w:style w:type="character" w:customStyle="1" w:styleId="source">
    <w:name w:val="source"/>
    <w:basedOn w:val="Bekezdsalapbettpusa"/>
    <w:rsid w:val="00D62E45"/>
  </w:style>
  <w:style w:type="character" w:styleId="Kiemels">
    <w:name w:val="Emphasis"/>
    <w:basedOn w:val="Bekezdsalapbettpusa"/>
    <w:uiPriority w:val="20"/>
    <w:qFormat/>
    <w:rsid w:val="00D62E4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E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6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2E45"/>
  </w:style>
  <w:style w:type="paragraph" w:styleId="llb">
    <w:name w:val="footer"/>
    <w:basedOn w:val="Norml"/>
    <w:link w:val="llbChar"/>
    <w:uiPriority w:val="99"/>
    <w:unhideWhenUsed/>
    <w:rsid w:val="00D6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229">
              <w:marLeft w:val="147"/>
              <w:marRight w:val="147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484">
              <w:marLeft w:val="73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57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3079">
              <w:marLeft w:val="73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377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5022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2540">
                              <w:marLeft w:val="0"/>
                              <w:marRight w:val="0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8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82764">
                      <w:marLeft w:val="0"/>
                      <w:marRight w:val="0"/>
                      <w:marTop w:val="1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go.hu/itthon/20210327-nemetorszag-kijozanodott-katasztrofahoz-vezet-az-atomsto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ombiztos.blogstar.hu/2020/10/07/a-nagy-nemet-klimazsakutca/10106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igo.hu/nagyvilag/20190411-orosz-rulett-nemet-modr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tombiztos.blogs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1149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2</cp:revision>
  <dcterms:created xsi:type="dcterms:W3CDTF">2021-04-06T06:38:00Z</dcterms:created>
  <dcterms:modified xsi:type="dcterms:W3CDTF">2021-04-06T09:47:00Z</dcterms:modified>
</cp:coreProperties>
</file>